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60"/>
        <w:jc w:val="center"/>
      </w:pPr>
      <w:r>
        <w:rPr>
          <w:rFonts w:ascii="Times New Roman" w:hAnsi="Times New Roman"/>
          <w:b/>
          <w:color w:val="0F2C59"/>
          <w:sz w:val="32"/>
        </w:rPr>
        <w:t>ANLAŞMALI BOŞANMA PROTOKOLÜ</w:t>
      </w:r>
    </w:p>
    <w:p>
      <w:pPr>
        <w:spacing w:after="240"/>
        <w:jc w:val="both"/>
      </w:pPr>
      <w:r>
        <w:t>Bu protokol, tarafların serbest iradeleriyle, 4721 sayılı Türk Medeni Kanunu’nun (TMK) 166. maddesinin 3. fıkrası uyarınca açılacak olan anlaşmalı boşanma davasına esas teşkil etmek üzere, boşanmanın mali sonuçları ile müşterek çocuğun durumunu düzenlemek amacıyla aşağıda belirtilen şartlar dairesinde imza altına alınmıştır.</w:t>
      </w:r>
    </w:p>
    <w:p>
      <w:pPr>
        <w:spacing w:after="120"/>
      </w:pPr>
      <w:r>
        <w:rPr>
          <w:b/>
          <w:color w:val="0F2C59"/>
          <w:sz w:val="24"/>
        </w:rPr>
        <w:t>TARAFLAR</w:t>
      </w:r>
    </w:p>
    <w:tbl>
      <w:tblPr>
        <w:tblStyle w:val="TableGrid"/>
        <w:tblW w:type="auto" w:w="0"/>
        <w:jc w:val="center"/>
        <w:tblLayout w:type="fixed"/>
        <w:tblLook w:firstColumn="1" w:firstRow="1" w:lastColumn="0" w:lastRow="0" w:noHBand="0" w:noVBand="1" w:val="04A0"/>
      </w:tblPr>
      <w:tblGrid>
        <w:gridCol w:w="4680"/>
        <w:gridCol w:w="4680"/>
      </w:tblGrid>
      <w:tr>
        <w:tc>
          <w:tcPr>
            <w:tcW w:type="dxa" w:w="2592"/>
            <w:shd w:val="clear" w:color="auto" w:fill="F2F5F9"/>
            <w:tcMar>
              <w:top w:w="100" w:type="dxa"/>
              <w:bottom w:w="100" w:type="dxa"/>
              <w:left w:w="150" w:type="dxa"/>
              <w:right w:w="150" w:type="dxa"/>
            </w:tcMar>
          </w:tcPr>
          <w:p>
            <w:r>
              <w:rPr>
                <w:b/>
                <w:color w:val="1F3A60"/>
              </w:rPr>
              <w:t>DAVACI (EŞ)</w:t>
            </w:r>
          </w:p>
        </w:tc>
        <w:tc>
          <w:tcPr>
            <w:tcW w:type="dxa" w:w="6768"/>
            <w:tcMar>
              <w:top w:w="100" w:type="dxa"/>
              <w:bottom w:w="100" w:type="dxa"/>
              <w:left w:w="150" w:type="dxa"/>
              <w:right w:w="150" w:type="dxa"/>
            </w:tcMar>
          </w:tcPr>
          <w:p>
            <w:r>
              <w:rPr>
                <w:b/>
              </w:rPr>
              <w:t xml:space="preserve">Adı Soyadı: </w:t>
            </w:r>
            <w:r>
              <w:t>Burcu YILMAZ</w:t>
              <w:br/>
            </w:r>
            <w:r>
              <w:rPr>
                <w:b/>
              </w:rPr>
              <w:t xml:space="preserve">T.C. Kimlik No: </w:t>
            </w:r>
            <w:r>
              <w:t>98765432104</w:t>
              <w:br/>
            </w:r>
            <w:r>
              <w:rPr>
                <w:b/>
              </w:rPr>
              <w:t xml:space="preserve">Adres: </w:t>
            </w:r>
            <w:r>
              <w:t>Çankaya Mahallesi, Atatürk Bulvarı No: 120/5 Çankaya / ANKARA</w:t>
            </w:r>
          </w:p>
        </w:tc>
      </w:tr>
      <w:tr>
        <w:tc>
          <w:tcPr>
            <w:tcW w:type="dxa" w:w="2592"/>
            <w:shd w:val="clear" w:color="auto" w:fill="F2F5F9"/>
            <w:tcMar>
              <w:top w:w="100" w:type="dxa"/>
              <w:bottom w:w="100" w:type="dxa"/>
              <w:left w:w="150" w:type="dxa"/>
              <w:right w:w="150" w:type="dxa"/>
            </w:tcMar>
          </w:tcPr>
          <w:p>
            <w:r>
              <w:rPr>
                <w:b/>
                <w:color w:val="1F3A60"/>
              </w:rPr>
              <w:t>DAVALI (EŞ)</w:t>
            </w:r>
          </w:p>
        </w:tc>
        <w:tc>
          <w:tcPr>
            <w:tcW w:type="dxa" w:w="6768"/>
            <w:tcMar>
              <w:top w:w="100" w:type="dxa"/>
              <w:bottom w:w="100" w:type="dxa"/>
              <w:left w:w="150" w:type="dxa"/>
              <w:right w:w="150" w:type="dxa"/>
            </w:tcMar>
          </w:tcPr>
          <w:p>
            <w:r>
              <w:rPr>
                <w:b/>
              </w:rPr>
              <w:t xml:space="preserve">Adı Soyadı: </w:t>
            </w:r>
            <w:r>
              <w:t>Ahmet YILMAZ</w:t>
              <w:br/>
            </w:r>
            <w:r>
              <w:rPr>
                <w:b/>
              </w:rPr>
              <w:t xml:space="preserve">T.C. Kimlik No: </w:t>
            </w:r>
            <w:r>
              <w:t>12345678902</w:t>
              <w:br/>
            </w:r>
            <w:r>
              <w:rPr>
                <w:b/>
              </w:rPr>
              <w:t xml:space="preserve">Adres: </w:t>
            </w:r>
            <w:r>
              <w:t>Çayyolu Mahallesi, 2432. Cadde No: 45/12 Çankaya / ANKARA</w:t>
            </w:r>
          </w:p>
        </w:tc>
      </w:tr>
    </w:tbl>
    <w:p>
      <w:pPr>
        <w:spacing w:after="240"/>
      </w:pPr>
    </w:p>
    <w:p>
      <w:pPr>
        <w:spacing w:after="120"/>
      </w:pPr>
      <w:r>
        <w:rPr>
          <w:b/>
          <w:color w:val="0F2C59"/>
          <w:sz w:val="24"/>
        </w:rPr>
        <w:t>PROTOKOL MADDELERİ</w:t>
      </w:r>
    </w:p>
    <w:p>
      <w:pPr>
        <w:spacing w:after="80"/>
      </w:pPr>
      <w:r>
        <w:rPr>
          <w:b/>
          <w:color w:val="000000"/>
          <w:sz w:val="23"/>
        </w:rPr>
        <w:t>MADDE 1: BOŞANMA İRADESİ</w:t>
      </w:r>
    </w:p>
    <w:p>
      <w:pPr>
        <w:jc w:val="both"/>
      </w:pPr>
      <w:r>
        <w:t>Her iki taraf da evlilik birliğinin temelinden sarsıldığını kabul ederek, karşılıklı uzlaşı ve serbest iradeleri ile boşanmayı istemektedirler. Taraflar, TMK m. 166/3 uyarınca evlilik birliğinin boşanma ile sona erdirilmesi hususunda tam bir mutabakat içindedirler.</w:t>
      </w:r>
    </w:p>
    <w:p>
      <w:pPr>
        <w:spacing w:after="80"/>
      </w:pPr>
      <w:r>
        <w:rPr>
          <w:b/>
          <w:color w:val="000000"/>
          <w:sz w:val="23"/>
        </w:rPr>
        <w:t>MADDE 2: VELAYET DÜZENLEMESİ</w:t>
      </w:r>
    </w:p>
    <w:p>
      <w:pPr>
        <w:jc w:val="both"/>
      </w:pPr>
      <w:r>
        <w:t xml:space="preserve">Tarafların evlilik birliğinden doğan </w:t>
      </w:r>
      <w:r>
        <w:rPr>
          <w:b/>
          <w:u w:val="single"/>
        </w:rPr>
        <w:t>15.03.2020</w:t>
      </w:r>
      <w:r>
        <w:t xml:space="preserve"> doğum tarihli ve </w:t>
      </w:r>
      <w:r>
        <w:rPr>
          <w:b/>
          <w:u w:val="single"/>
        </w:rPr>
        <w:t>55555555555</w:t>
      </w:r>
      <w:r>
        <w:t xml:space="preserve"> T.C. Kimlik Numaralı müşterek çocuğu </w:t>
      </w:r>
      <w:r>
        <w:rPr>
          <w:b/>
        </w:rPr>
        <w:t>Can YILMAZ</w:t>
      </w:r>
      <w:r>
        <w:t xml:space="preserve">’ın velayeti, TMK m. 182 uyarınca, çocuğun üstün yararı gözetilerek </w:t>
      </w:r>
      <w:r>
        <w:rPr>
          <w:b/>
          <w:u w:val="single"/>
        </w:rPr>
        <w:t>anne Burcu YILMAZ’a</w:t>
      </w:r>
      <w:r>
        <w:t xml:space="preserve"> verilecektir. Davalı baba Ahmet YILMAZ, velayetin anneye verilmesini açıkça kabul ve taahhüt eder.</w:t>
      </w:r>
    </w:p>
    <w:p>
      <w:pPr>
        <w:spacing w:after="80"/>
      </w:pPr>
      <w:r>
        <w:rPr>
          <w:b/>
          <w:color w:val="000000"/>
          <w:sz w:val="23"/>
        </w:rPr>
        <w:t>MADDE 3: MÜŞTEREK ÇOCUKLA KİŞİSEL İLİŞKİ KURULMASI</w:t>
      </w:r>
    </w:p>
    <w:p>
      <w:pPr>
        <w:jc w:val="both"/>
      </w:pPr>
      <w:r>
        <w:t>Velayeti anneye bırakılan müşterek çocuk Can YILMAZ ile baba Ahmet YILMAZ arasında, ileride hiçbir yorum farkına mahal bırakmayacak şekilde, icra edilebilir nitelikte şu takvim uyarınca şahsi münasebet tesis edilecektir:</w:t>
      </w:r>
    </w:p>
    <w:p>
      <w:pPr>
        <w:pStyle w:val="ListBullet"/>
        <w:spacing w:after="80"/>
        <w:jc w:val="both"/>
      </w:pPr>
      <w:r>
        <w:rPr>
          <w:b/>
        </w:rPr>
        <w:t xml:space="preserve">a) Hafta Sonu İlişkileri: </w:t>
      </w:r>
      <w:r>
        <w:t xml:space="preserve">Baba, müşterek çocuğu her ayın </w:t>
      </w:r>
      <w:r>
        <w:rPr>
          <w:b/>
          <w:u w:val="single"/>
        </w:rPr>
        <w:t>1. ve 3. hafta sonları</w:t>
      </w:r>
      <w:r>
        <w:t xml:space="preserve"> Cuma günü saat 18:00’de annenin ikametgahından teslim alacak, Pazar günü saat 18:00’de tekrar annenin ikametgahına teslim edecektir.</w:t>
      </w:r>
    </w:p>
    <w:p>
      <w:pPr>
        <w:pStyle w:val="ListBullet"/>
        <w:spacing w:after="40"/>
      </w:pPr>
      <w:r>
        <w:rPr>
          <w:b/>
        </w:rPr>
        <w:t>b) Dini Bayramlar:</w:t>
      </w:r>
    </w:p>
    <w:p>
      <w:pPr>
        <w:pStyle w:val="ListBullet2"/>
        <w:jc w:val="both"/>
      </w:pPr>
      <w:r>
        <w:t xml:space="preserve">Ramazan Bayramı’nın </w:t>
      </w:r>
      <w:r>
        <w:rPr>
          <w:b/>
          <w:u w:val="single"/>
        </w:rPr>
        <w:t>çift yıllarda</w:t>
      </w:r>
      <w:r>
        <w:t xml:space="preserve"> (örn. 2026, 2028 v.b.) 2. günü saat 09:00’dan 4. günü saat 18:00’e kadar müşterek çocuk babanın yanında kalacaktır.</w:t>
      </w:r>
    </w:p>
    <w:p>
      <w:pPr>
        <w:pStyle w:val="ListBullet2"/>
        <w:jc w:val="both"/>
      </w:pPr>
      <w:r>
        <w:t xml:space="preserve">Kurban Bayramı’nın </w:t>
      </w:r>
      <w:r>
        <w:rPr>
          <w:b/>
          <w:u w:val="single"/>
        </w:rPr>
        <w:t>tek yıllarda</w:t>
      </w:r>
      <w:r>
        <w:t xml:space="preserve"> (örn. 2027, 2029 v.b.) 2. günü saat 09:00’dan 4. günü saat 18:00’e kadar müşterek çocuk babanın yanında kalacaktır.</w:t>
      </w:r>
    </w:p>
    <w:p>
      <w:pPr>
        <w:pStyle w:val="ListBullet"/>
        <w:spacing w:after="40"/>
      </w:pPr>
      <w:r>
        <w:rPr>
          <w:b/>
        </w:rPr>
        <w:t>c) Resmi Bayramlar ve Sömestr:</w:t>
      </w:r>
    </w:p>
    <w:p>
      <w:pPr>
        <w:pStyle w:val="ListBullet2"/>
        <w:jc w:val="both"/>
      </w:pPr>
      <w:r>
        <w:t>Her yıl 23 Nisan Ulusal Egemenlik ve Çocuk Bayramı ile 29 Ekim Cumhuriyet Bayramı tatillerinde, tatilin başladığı gün saat 09:00'dan tatilin bittiği gün saat 18:00'e kadar çocuk tek yıllarda anne, çift yıllarda baba yanında kalacaktır.</w:t>
      </w:r>
    </w:p>
    <w:p>
      <w:pPr>
        <w:pStyle w:val="ListBullet2"/>
        <w:jc w:val="both"/>
      </w:pPr>
      <w:r>
        <w:t>Müşterek çocuğun eğitim gördüğü okulların Yarıyıl (Sömestr) tatilinde, tatilin başladığı ilk Pazartesi günü saat 09:00’dan takip eden Pazartesi günü saat 18:00’ye kadar çocuk babanın yanında kalacaktır.</w:t>
      </w:r>
    </w:p>
    <w:p>
      <w:pPr>
        <w:pStyle w:val="ListBullet"/>
        <w:spacing w:after="80"/>
        <w:jc w:val="both"/>
      </w:pPr>
      <w:r>
        <w:rPr>
          <w:b/>
        </w:rPr>
        <w:t xml:space="preserve">d) Yaz Tatili: </w:t>
      </w:r>
      <w:r>
        <w:t xml:space="preserve">Her yıl </w:t>
      </w:r>
      <w:r>
        <w:rPr>
          <w:b/>
          <w:u w:val="single"/>
        </w:rPr>
        <w:t>1 Temmuz saat 09:00’dan başlayarak 31 Temmuz saat 18:00’e kadar</w:t>
      </w:r>
      <w:r>
        <w:t xml:space="preserve"> kesintisiz olarak müşterek çocuk babanın yanında kalacaktır.</w:t>
      </w:r>
    </w:p>
    <w:p>
      <w:pPr>
        <w:pStyle w:val="ListBullet"/>
        <w:spacing w:after="80"/>
        <w:jc w:val="both"/>
      </w:pPr>
      <w:r>
        <w:rPr>
          <w:b/>
        </w:rPr>
        <w:t xml:space="preserve">e) Çocuğun ve Babanın Doğum Günleri: </w:t>
      </w:r>
      <w:r>
        <w:t>Müşterek çocuğun doğum gününde (15 Mart) çocuk tek yıllarda babada, çift yıllarda annede kalacaktır. Babanın doğum gününde ise çocuk saat 10:00 ile 20:00 arasında babayla vakit geçirecektir.</w:t>
      </w:r>
      <w:r/>
    </w:p>
    <w:p>
      <w:pPr>
        <w:spacing w:after="80"/>
      </w:pPr>
      <w:r>
        <w:rPr>
          <w:b/>
          <w:color w:val="000000"/>
          <w:sz w:val="23"/>
        </w:rPr>
        <w:t>MADDE 4: İŞTİRAK NAFAKASI VE GELECEKTEKİ EĞİTİM-SAĞLIK GİDERLERİ</w:t>
      </w:r>
    </w:p>
    <w:p>
      <w:pPr>
        <w:pStyle w:val="ListNumber"/>
        <w:jc w:val="both"/>
      </w:pPr>
      <w:r>
        <w:t xml:space="preserve">Davalı baba Ahmet YILMAZ, müşterek çocuk Can YILMAZ’ın bakım, iaşe ve barınma giderlerine katkı sağlamak amacıyla TMK m. 182/2 uyarınca her ay </w:t>
      </w:r>
      <w:r>
        <w:rPr>
          <w:b/>
          <w:u w:val="single"/>
        </w:rPr>
        <w:t>15.000,00 TL (OnBeşBin TürkLirası)</w:t>
      </w:r>
      <w:r>
        <w:t xml:space="preserve"> iştirak nafakasını, boşanma kararının kesinleştiği tarihi takip eden ilk ay itibariyle, her ayın en geç </w:t>
      </w:r>
      <w:r>
        <w:rPr>
          <w:b/>
          <w:u w:val="single"/>
        </w:rPr>
        <w:t>5. gününde</w:t>
      </w:r>
      <w:r>
        <w:t xml:space="preserve"> davacı anne Burcu YILMAZ adına kayıtlı </w:t>
      </w:r>
      <w:r>
        <w:rPr>
          <w:b/>
          <w:u w:val="single"/>
        </w:rPr>
        <w:t>TR91 0006 2000 0001 2345 6789 01</w:t>
      </w:r>
      <w:r>
        <w:t xml:space="preserve"> IBAN numaralı banka hesabına açıklamaya "Müşterek Çocuk İştirak Nafakası" yazarak net olarak yatıracaktır.</w:t>
      </w:r>
    </w:p>
    <w:p>
      <w:pPr>
        <w:pStyle w:val="ListNumber"/>
        <w:jc w:val="both"/>
      </w:pPr>
      <w:r>
        <w:rPr>
          <w:b/>
        </w:rPr>
        <w:t xml:space="preserve">Yıllık Artış Oranı: </w:t>
      </w:r>
      <w:r>
        <w:t xml:space="preserve">Söz konusu iştirak nafakası miktarı, her yıl nafaka ödeme ayında, Türkiye İstatistik Kurumu (TÜİK) tarafından açıklanan bir önceki yılın aynı ayına göre </w:t>
      </w:r>
      <w:r>
        <w:rPr>
          <w:b/>
          <w:i/>
          <w:color w:val="0F2C59"/>
        </w:rPr>
        <w:t>TÜFE + ÜFE ortalaması</w:t>
      </w:r>
      <w:r>
        <w:t xml:space="preserve"> oranında (her halükarda yıllık %20'den az olmamak kaydıyla) kendiliğinden artırılacaktır.</w:t>
      </w:r>
    </w:p>
    <w:p>
      <w:pPr>
        <w:pStyle w:val="ListNumber"/>
        <w:jc w:val="both"/>
      </w:pPr>
      <w:r>
        <w:rPr>
          <w:b/>
        </w:rPr>
        <w:t xml:space="preserve">Eğitim ve Sağlık Giderleri: </w:t>
      </w:r>
      <w:r>
        <w:t xml:space="preserve">Müşterek çocuğun gelecekteki özel okul, dershane, kurs, okul servisi, yurt dışı eğitim, üniversite eğitim giderleri ile Sosyal Güvenlik Kurumu (SGK) tarafından karşılanmayan tüm özel hastane, ameliyat, ilaç, diş/ortodonti ve benzeri sağlık giderleri, </w:t>
      </w:r>
      <w:r>
        <w:rPr>
          <w:b/>
          <w:u w:val="single"/>
        </w:rPr>
        <w:t>%70 oranında davalı baba Ahmet YILMAZ, %30 oranında davacı anne Burcu YILMAZ</w:t>
      </w:r>
      <w:r>
        <w:t xml:space="preserve"> tarafından fatura veya makbuz ibrazı karşılığında karşılanacaktır.</w:t>
      </w:r>
    </w:p>
    <w:p>
      <w:pPr>
        <w:spacing w:after="80"/>
      </w:pPr>
      <w:r>
        <w:rPr>
          <w:b/>
          <w:color w:val="000000"/>
          <w:sz w:val="23"/>
        </w:rPr>
        <w:t>MADDE 5: YOKSULLUK NAFAKASI BEYANI</w:t>
      </w:r>
    </w:p>
    <w:p>
      <w:pPr>
        <w:jc w:val="both"/>
      </w:pPr>
      <w:r>
        <w:t xml:space="preserve">Tarafların her ikisinin de düzenli ve yeterli geliri bulunması sebebiyle, taraflar TMK m. 175 kapsamında birbirlerinden yoksulluk nafakası talep etmediklerini, bu haklarından karşılıklı, tamamen ve </w:t>
      </w:r>
      <w:r>
        <w:rPr>
          <w:b/>
        </w:rPr>
        <w:t>gayrikabili rücu (geri dönülemez şekilde) feragat ettiklerini</w:t>
      </w:r>
      <w:r>
        <w:t xml:space="preserve"> beyan ve kabul ederler. Boşanma kararının kesinleşmesinden sonra taraflar birbirlerine karşı yoksulluk nafakası davası açmayacaklarını taahhüt ederler.</w:t>
      </w:r>
    </w:p>
    <w:p>
      <w:pPr>
        <w:spacing w:after="80"/>
      </w:pPr>
      <w:r>
        <w:rPr>
          <w:b/>
          <w:color w:val="000000"/>
          <w:sz w:val="23"/>
        </w:rPr>
        <w:t>MADDE 6: MADDİ VE MANEVİ TAZMİNAT DÜZENLEMESİ</w:t>
      </w:r>
    </w:p>
    <w:p>
      <w:pPr>
        <w:jc w:val="both"/>
      </w:pPr>
      <w:r>
        <w:t>TMK m. 174/1 ve 174/2 maddeleri uyarınca boşanma yüzünden mevcut veya beklenen menfaatleri haleldar olan ve kişilik hakları saldırıya uğrayan taraf yararına tazminata hükmedilmesi esasına dayalı olarak;</w:t>
      </w:r>
    </w:p>
    <w:p>
      <w:pPr>
        <w:pStyle w:val="ListBullet"/>
        <w:jc w:val="both"/>
      </w:pPr>
      <w:r>
        <w:t xml:space="preserve">Davalı Ahmet YILMAZ, davacı Burcu YILMAZ’a </w:t>
      </w:r>
      <w:r>
        <w:rPr>
          <w:b/>
          <w:u w:val="single"/>
        </w:rPr>
        <w:t>500.000,00 TL (BeşYüzBin TürkLirası) Maddi Tazminat</w:t>
      </w:r>
      <w:r>
        <w:t xml:space="preserve"> ve </w:t>
      </w:r>
      <w:r>
        <w:rPr>
          <w:b/>
          <w:u w:val="single"/>
        </w:rPr>
        <w:t>300.000,00 TL (ÜçYüzBin TürkLirası) Manevi Tazminat</w:t>
      </w:r>
      <w:r>
        <w:t xml:space="preserve"> olmak üzere toplam </w:t>
      </w:r>
      <w:r>
        <w:rPr>
          <w:b/>
        </w:rPr>
        <w:t>800.000,00 TL (SekizYüzBin TürkLirası)</w:t>
      </w:r>
      <w:r>
        <w:t xml:space="preserve"> tazminat ödemeyi kabul ve taahhüt eder.</w:t>
      </w:r>
    </w:p>
    <w:p>
      <w:pPr>
        <w:pStyle w:val="ListBullet"/>
        <w:jc w:val="both"/>
      </w:pPr>
      <w:r>
        <w:rPr>
          <w:b/>
        </w:rPr>
        <w:t xml:space="preserve">Ödeme Planı: </w:t>
      </w:r>
      <w:r>
        <w:t xml:space="preserve">Toplam 800.000,00 TL tazminatın </w:t>
      </w:r>
      <w:r>
        <w:rPr>
          <w:b/>
          <w:u w:val="single"/>
        </w:rPr>
        <w:t>400.000,00 TL’si</w:t>
      </w:r>
      <w:r>
        <w:t xml:space="preserve"> boşanma kararının kesinleştiği tarihten itibaren en geç </w:t>
      </w:r>
      <w:r>
        <w:rPr>
          <w:b/>
          <w:u w:val="single"/>
        </w:rPr>
        <w:t>7 (yedi) iş günü</w:t>
      </w:r>
      <w:r>
        <w:t xml:space="preserve"> içerisinde davacı Burcu YILMAZ'ın yukarıda (Madde 4/1) belirtilen banka hesabına ödenecektir. Geriye kalan </w:t>
      </w:r>
      <w:r>
        <w:rPr>
          <w:b/>
          <w:u w:val="single"/>
        </w:rPr>
        <w:t>400.000,00 TL</w:t>
      </w:r>
      <w:r>
        <w:t xml:space="preserve"> ise, bu ilk ödemeyi takip eden birbirini izleyen aylarda, her ayın 15. gününde </w:t>
      </w:r>
      <w:r>
        <w:rPr>
          <w:b/>
          <w:u w:val="single"/>
        </w:rPr>
        <w:t>100.000,00 TL’lik 4 (dört) eşit taksit</w:t>
      </w:r>
      <w:r>
        <w:t xml:space="preserve"> halinde ödenecektir.</w:t>
      </w:r>
    </w:p>
    <w:p>
      <w:pPr>
        <w:pStyle w:val="ListBullet"/>
        <w:jc w:val="both"/>
      </w:pPr>
      <w:r>
        <w:t>Taraflar bu maddede kararlaştırılan tutarlar dışında, birbirlerinden başkaca hiçbir maddi ve manevi tazminat talebinde bulunmayacaklarını, tazminat haklarının bu şekilde tasfiye edildiğini kabul ve ibra ederler.</w:t>
      </w:r>
    </w:p>
    <w:p>
      <w:pPr>
        <w:spacing w:after="80"/>
      </w:pPr>
      <w:r>
        <w:rPr>
          <w:b/>
          <w:color w:val="000000"/>
          <w:sz w:val="23"/>
        </w:rPr>
        <w:t>MADDE 7: MAL REJİMİNİN TASFİYESİ VE GAYRİMENKUL/ARAÇ DEVRİ</w:t>
      </w:r>
    </w:p>
    <w:p>
      <w:pPr>
        <w:jc w:val="both"/>
      </w:pPr>
      <w:r>
        <w:t>Taraflar, evlilik birliği içinde edinilmiş olan tüm malların tasfiyesi hususunda TMK m. 202 ve devamı maddeleri uyarınca aşağıdaki şekilde mutabakata varmışlardır:</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3600"/>
            <w:shd w:val="clear" w:color="auto" w:fill="F2F5F9"/>
            <w:tcMar>
              <w:top w:w="100" w:type="dxa"/>
              <w:bottom w:w="100" w:type="dxa"/>
              <w:left w:w="150" w:type="dxa"/>
              <w:right w:w="150" w:type="dxa"/>
            </w:tcMar>
          </w:tcPr>
          <w:p>
            <w:r>
              <w:rPr>
                <w:b/>
                <w:color w:val="1F3A60"/>
              </w:rPr>
              <w:t>Malın Niteliği ve Detaylı Bilgileri</w:t>
            </w:r>
          </w:p>
        </w:tc>
        <w:tc>
          <w:tcPr>
            <w:tcW w:type="dxa" w:w="1872"/>
            <w:shd w:val="clear" w:color="auto" w:fill="F2F5F9"/>
            <w:tcMar>
              <w:top w:w="100" w:type="dxa"/>
              <w:bottom w:w="100" w:type="dxa"/>
              <w:left w:w="150" w:type="dxa"/>
              <w:right w:w="150" w:type="dxa"/>
            </w:tcMar>
          </w:tcPr>
          <w:p>
            <w:r>
              <w:rPr>
                <w:b/>
                <w:color w:val="1F3A60"/>
              </w:rPr>
              <w:t>Ait Olacağı Taraf</w:t>
            </w:r>
          </w:p>
        </w:tc>
        <w:tc>
          <w:tcPr>
            <w:tcW w:type="dxa" w:w="3888"/>
            <w:shd w:val="clear" w:color="auto" w:fill="F2F5F9"/>
            <w:tcMar>
              <w:top w:w="100" w:type="dxa"/>
              <w:bottom w:w="100" w:type="dxa"/>
              <w:left w:w="150" w:type="dxa"/>
              <w:right w:w="150" w:type="dxa"/>
            </w:tcMar>
          </w:tcPr>
          <w:p>
            <w:r>
              <w:rPr>
                <w:b/>
                <w:color w:val="1F3A60"/>
              </w:rPr>
              <w:t>Tescil ve Devir Şartları</w:t>
            </w:r>
          </w:p>
        </w:tc>
      </w:tr>
      <w:tr>
        <w:tc>
          <w:tcPr>
            <w:tcW w:type="dxa" w:w="3600"/>
            <w:tcMar>
              <w:top w:w="100" w:type="dxa"/>
              <w:bottom w:w="100" w:type="dxa"/>
              <w:left w:w="150" w:type="dxa"/>
              <w:right w:w="150" w:type="dxa"/>
            </w:tcMar>
          </w:tcPr>
          <w:p>
            <w:r>
              <w:rPr>
                <w:b/>
              </w:rPr>
              <w:t>Taşınmaz (Konut):</w:t>
              <w:br/>
            </w:r>
            <w:r>
              <w:t>Ankara İli, Çankaya İlçesi, Çayyolu Mahallesi, 12345 Ada, 6 Parsel bünyesindeki 4 Nolu Bağımsız Bölüm (Mesken)</w:t>
            </w:r>
          </w:p>
        </w:tc>
        <w:tc>
          <w:tcPr>
            <w:tcW w:type="dxa" w:w="1872"/>
            <w:tcMar>
              <w:top w:w="100" w:type="dxa"/>
              <w:bottom w:w="100" w:type="dxa"/>
              <w:left w:w="150" w:type="dxa"/>
              <w:right w:w="150" w:type="dxa"/>
            </w:tcMar>
          </w:tcPr>
          <w:p>
            <w:r>
              <w:t>Burcu YILMAZ</w:t>
            </w:r>
          </w:p>
        </w:tc>
        <w:tc>
          <w:tcPr>
            <w:tcW w:type="dxa" w:w="3888"/>
            <w:tcMar>
              <w:top w:w="100" w:type="dxa"/>
              <w:bottom w:w="100" w:type="dxa"/>
              <w:left w:w="150" w:type="dxa"/>
              <w:right w:w="150" w:type="dxa"/>
            </w:tcMar>
          </w:tcPr>
          <w:p>
            <w:r>
              <w:t xml:space="preserve">Boşanma kararının kesinleşmesinden itibaren en geç </w:t>
            </w:r>
            <w:r>
              <w:rPr>
                <w:b/>
                <w:u w:val="single"/>
              </w:rPr>
              <w:t>15 (on beş) gün</w:t>
            </w:r>
            <w:r>
              <w:t xml:space="preserve"> içinde tapuda davacı adına tescil edilecektir. Devir masrafları davalı tarafından karşılanacaktır. Taşınmaz üzerindeki mevcut konut kredisinin kalan taksitleri davalı Ahmet YILMAZ tarafından ödenecektir.</w:t>
            </w:r>
          </w:p>
        </w:tc>
      </w:tr>
      <w:tr>
        <w:tc>
          <w:tcPr>
            <w:tcW w:type="dxa" w:w="3600"/>
            <w:tcMar>
              <w:top w:w="100" w:type="dxa"/>
              <w:bottom w:w="100" w:type="dxa"/>
              <w:left w:w="150" w:type="dxa"/>
              <w:right w:w="150" w:type="dxa"/>
            </w:tcMar>
          </w:tcPr>
          <w:p>
            <w:r>
              <w:rPr>
                <w:b/>
              </w:rPr>
              <w:t>Motorlu Taşıt:</w:t>
              <w:br/>
            </w:r>
            <w:r>
              <w:t>06 ABC 123 Plakalı, 2022 Model, Volkswagen Tiguan marka binek araç (Şasi No: WVGZZZ5NZNM123456)</w:t>
            </w:r>
          </w:p>
        </w:tc>
        <w:tc>
          <w:tcPr>
            <w:tcW w:type="dxa" w:w="1872"/>
            <w:tcMar>
              <w:top w:w="100" w:type="dxa"/>
              <w:bottom w:w="100" w:type="dxa"/>
              <w:left w:w="150" w:type="dxa"/>
              <w:right w:w="150" w:type="dxa"/>
            </w:tcMar>
          </w:tcPr>
          <w:p>
            <w:r>
              <w:t>Ahmet YILMAZ</w:t>
            </w:r>
          </w:p>
        </w:tc>
        <w:tc>
          <w:tcPr>
            <w:tcW w:type="dxa" w:w="3888"/>
            <w:tcMar>
              <w:top w:w="100" w:type="dxa"/>
              <w:bottom w:w="100" w:type="dxa"/>
              <w:left w:w="150" w:type="dxa"/>
              <w:right w:w="150" w:type="dxa"/>
            </w:tcMar>
          </w:tcPr>
          <w:p>
            <w:r>
              <w:t>Mevcut durumuyla davalı Ahmet YILMAZ'ın mülkiyetinde kalmaya devam edecektir. Davacı Burcu YILMAZ bu araç üzerinde hiçbir hak, alacak veya katkı payı/değer artış payı talebi olmadığını beyan eder.</w:t>
            </w:r>
          </w:p>
        </w:tc>
      </w:tr>
    </w:tbl>
    <w:p>
      <w:pPr>
        <w:spacing w:before="120"/>
        <w:jc w:val="both"/>
      </w:pPr>
      <w:r>
        <w:t>Taraflar, yukarıda belirtilenler dışında birbirlerinden katılma alacağı, değer artış payı alacağı veya katkı payı alacağı adı altında hiçbir mal rejimi tasfiye alacağı talebinde bulunmadıklarını ve birbirlerini karşılıklı olarak tamamen ibra ettiklerini beyan ederler.</w:t>
      </w:r>
    </w:p>
    <w:p>
      <w:pPr>
        <w:spacing w:after="80"/>
      </w:pPr>
      <w:r>
        <w:rPr>
          <w:b/>
          <w:color w:val="000000"/>
          <w:sz w:val="23"/>
        </w:rPr>
        <w:t>MADDE 8: ZİYNET EŞYALARI (DÜĞÜN TAKILARI)</w:t>
      </w:r>
    </w:p>
    <w:p>
      <w:pPr>
        <w:jc w:val="both"/>
      </w:pPr>
      <w:r>
        <w:t>Taraflar evlilik esnasında takılan ziynet eşyalarının paylaşımı konusunda tam bir mutabakata varmışlardır.</w:t>
      </w:r>
    </w:p>
    <w:p>
      <w:pPr>
        <w:pStyle w:val="ListBullet"/>
        <w:jc w:val="both"/>
      </w:pPr>
      <w:r>
        <w:t xml:space="preserve">Davacı Burcu YILMAZ’ın zilyetliğinde bulunan; </w:t>
      </w:r>
      <w:r>
        <w:rPr>
          <w:b/>
          <w:u w:val="single"/>
        </w:rPr>
        <w:t>22 Ayar 5 adet Burma Bilezik (toplam 100 gram)</w:t>
      </w:r>
      <w:r>
        <w:t xml:space="preserve"> ile </w:t>
      </w:r>
      <w:r>
        <w:rPr>
          <w:b/>
          <w:u w:val="single"/>
        </w:rPr>
        <w:t>18 Ayar 1 adet Altın Gerdanlık Seti (gerdanlık, bileklik ve küpeler dahil, toplam 50 gram)</w:t>
      </w:r>
      <w:r>
        <w:t xml:space="preserve"> davacı kadının mülkiyetinde kalacaktır.</w:t>
      </w:r>
    </w:p>
    <w:p>
      <w:pPr>
        <w:pStyle w:val="ListBullet"/>
        <w:jc w:val="both"/>
      </w:pPr>
      <w:r>
        <w:t xml:space="preserve">Davalı Ahmet YILMAZ, söz konusu ziynet eşyalarının davacı Burcu YILMAZ’a ait olduğunu, kendisinde kalan veya talep ettiği herhangi bir düğün takısı bulunmadığını beyanla, ziynet eşyaları yönünden davacıyı tamamen </w:t>
      </w:r>
      <w:r>
        <w:rPr>
          <w:b/>
        </w:rPr>
        <w:t>ibra etmiştir</w:t>
      </w:r>
      <w:r>
        <w:t>. Tarafların ziynet eşyası hususunda birbirlerinden hiçbir alacak iddiası kalmamıştır.</w:t>
      </w:r>
    </w:p>
    <w:p>
      <w:pPr>
        <w:spacing w:after="80"/>
      </w:pPr>
      <w:r>
        <w:rPr>
          <w:b/>
          <w:color w:val="000000"/>
          <w:sz w:val="23"/>
        </w:rPr>
        <w:t>MADDE 9: YARGILAMA GİDERLERİ VE VEKALET ÜCRETİ</w:t>
      </w:r>
    </w:p>
    <w:p>
      <w:pPr>
        <w:jc w:val="both"/>
      </w:pPr>
      <w:r>
        <w:t>İşbu anlaşmalı boşanma davası sebebiyle tahakkuk edecek olan tüm mahkeme harçları, gider avansları ve posta masrafları davalı Ahmet YILMAZ tarafından karşılanacaktır. Taraflar karşılıklı olarak birbirlerinden vekalet ücreti talep etmeyeceklerini, her iki tarafın da kendi vekilinin ücretini kendisinin ödeyeceğini kabul etmişlerdir.</w:t>
      </w:r>
    </w:p>
    <w:p>
      <w:pPr>
        <w:spacing w:after="80"/>
      </w:pPr>
      <w:r>
        <w:rPr>
          <w:b/>
          <w:color w:val="000000"/>
          <w:sz w:val="23"/>
        </w:rPr>
        <w:t>MADDE 10: YÜRÜRLÜK VE NÜSHA SAYISI</w:t>
      </w:r>
    </w:p>
    <w:p>
      <w:pPr>
        <w:jc w:val="both"/>
      </w:pPr>
      <w:r>
        <w:t xml:space="preserve">Toplam 10 (on) maddeden oluşan işbu protokol, tarafların hür iradeleri ile okunup, müzakere edilerek imza altına alınmış olup, mahkemece onaylandığı tarihte hüküm doğuracaktır. Protokol, biri Aile Mahkemesi dosyasına sunulmak, diğer ikisi ise taraflarda kalmak üzere </w:t>
      </w:r>
      <w:r>
        <w:rPr>
          <w:b/>
        </w:rPr>
        <w:t>3 (üç) asıl nüsha</w:t>
      </w:r>
      <w:r>
        <w:t xml:space="preserve"> olarak </w:t>
      </w:r>
      <w:r>
        <w:rPr>
          <w:b/>
          <w:u w:val="single"/>
        </w:rPr>
        <w:t>03.07.2026</w:t>
      </w:r>
      <w:r>
        <w:t xml:space="preserve"> tarihinde tanzim ve imza edilmiştir.</w:t>
      </w:r>
    </w:p>
    <w:p>
      <w:pPr>
        <w:spacing w:after="480"/>
      </w:pPr>
    </w:p>
    <w:tbl>
      <w:tblPr>
        <w:tblW w:type="auto" w:w="0"/>
        <w:jc w:val="center"/>
        <w:tblLook w:firstColumn="1" w:firstRow="1" w:lastColumn="0" w:lastRow="0" w:noHBand="0" w:noVBand="1" w:val="04A0"/>
      </w:tblPr>
      <w:tblGrid>
        <w:gridCol w:w="4680"/>
        <w:gridCol w:w="4680"/>
      </w:tblGrid>
      <w:tr>
        <w:tc>
          <w:tcPr>
            <w:tcW w:type="dxa" w:w="4608"/>
          </w:tcPr>
          <w:p>
            <w:pPr>
              <w:jc w:val="center"/>
            </w:pPr>
            <w:r>
              <w:rPr>
                <w:b/>
              </w:rPr>
              <w:t>DAVACI</w:t>
              <w:br/>
            </w:r>
            <w:r>
              <w:t>Burcu YILMAZ</w:t>
              <w:br/>
              <w:t>(İmza)</w:t>
              <w:br/>
              <w:br/>
              <w:br/>
              <w:t>____________________</w:t>
            </w:r>
          </w:p>
        </w:tc>
        <w:tc>
          <w:tcPr>
            <w:tcW w:type="dxa" w:w="4608"/>
          </w:tcPr>
          <w:p>
            <w:pPr>
              <w:jc w:val="center"/>
            </w:pPr>
            <w:r>
              <w:rPr>
                <w:b/>
              </w:rPr>
              <w:t>DAVALI</w:t>
              <w:br/>
            </w:r>
            <w:r>
              <w:t>Ahmet YILMAZ</w:t>
              <w:br/>
              <w:t>(İmza)</w:t>
              <w:br/>
              <w:br/>
              <w:br/>
              <w:t>____________________</w:t>
            </w:r>
          </w:p>
        </w:tc>
      </w:tr>
    </w:tbl>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Times New Roman" w:hAnsi="Times New Roman"/>
      <w:color w:val="111111"/>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